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0D3391">
      <w:pPr>
        <w:spacing w:before="100" w:beforeAutospacing="1" w:after="0"/>
        <w:ind w:left="57"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0D3391">
      <w:pPr>
        <w:ind w:left="57" w:right="1134"/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Notre voyage à Gouda, Haarlem et Amsterdam - 24-26/11/2017</w:t>
      </w: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la plupart d’entre nous connaissent un peu les Pays-Bas, Gouda est une vraie découverte. Imaginez une petite ville aux airs de village médiéval, toutefois dotée d’une magnifique Grand-Place sur laquelle nous visitons le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Waag</w:t>
      </w:r>
      <w:proofErr w:type="spellEnd"/>
      <w:r>
        <w:rPr>
          <w:rFonts w:ascii="Times New Roman" w:hAnsi="Times New Roman" w:cs="Times New Roman"/>
          <w:sz w:val="24"/>
          <w:szCs w:val="24"/>
        </w:rPr>
        <w:t> «, bâtiment (17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</w:t>
      </w:r>
      <w:proofErr w:type="gramStart"/>
      <w:r>
        <w:rPr>
          <w:rFonts w:ascii="Times New Roman" w:hAnsi="Times New Roman" w:cs="Times New Roman"/>
          <w:sz w:val="24"/>
          <w:szCs w:val="24"/>
        </w:rPr>
        <w:t>où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pesait le fromage et qui contient tous les instruments nécessaires à la fabrication du Gouda.  Au centre de la place, l’ancien hôtel de ville dont la tour lui donne une silhouette féerique.  Après un déjeuner convivial, nous nous rendons à l’église St Jean (13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s.), qui avec ses 123 m est la plus longue du pays.  Sa collection de 70 vitraux (16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et ses belles orgues (18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en font sa renommée.  En nous promenant dans les petites rues bordées de canaux, nous passons devant  une chapelle (16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s.), inspirée de l’église du St Sépulcre à Jérusalem, ainsi qu’un hospice de vieillards (16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s.).  Enfin,  nous allons goûter, dans une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Stroopwafelbakkerij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connue, les délicieuses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stroopwafels</w:t>
      </w:r>
      <w:proofErr w:type="spellEnd"/>
      <w:r>
        <w:rPr>
          <w:rFonts w:ascii="Times New Roman" w:hAnsi="Times New Roman" w:cs="Times New Roman"/>
          <w:sz w:val="24"/>
          <w:szCs w:val="24"/>
        </w:rPr>
        <w:t> » (galettes au sirop),  célébrité nationale.  Nous quittons Gouda à 18h, après une dernière photo de la  Grand-Place illuminée.  Direction notre hôtel à Haarlem.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Samedi matin, la visite de Haarlem est programmée en commençant par le moulin  De Adriaan (18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et son système de rouages en bois actionnés par les ailes en mouvement. De la galerie qui  surplombe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nous avons une belle vue sur la ville qui a gardé intact son centre historique. 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Grand-Place se trouvent l’hôtel de ville (14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et la Grande Eglise St Bavo (15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s.),  où Frans Hals est enterré.  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voyons ensuite le musée Frans Hals,  installé dans un ancien hospice de vieillards (17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s.) qui contient surtout ses portraits de groupes de gardes civiques et de régents, ainsi que quelques portraits de bourgeois et paysans. Y sont présents également des œuvres  de ses contemporains, dont Ruysdael.   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9A6248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9F7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3459F7">
        <w:rPr>
          <w:rFonts w:ascii="Times New Roman" w:hAnsi="Times New Roman" w:cs="Times New Roman"/>
          <w:sz w:val="24"/>
          <w:szCs w:val="24"/>
        </w:rPr>
        <w:t>Teylers</w:t>
      </w:r>
      <w:proofErr w:type="spellEnd"/>
      <w:r w:rsidR="003459F7">
        <w:rPr>
          <w:rFonts w:ascii="Times New Roman" w:hAnsi="Times New Roman" w:cs="Times New Roman"/>
          <w:sz w:val="24"/>
          <w:szCs w:val="24"/>
        </w:rPr>
        <w:t xml:space="preserve"> Museum nous fait découvrir ses collections de fossiles, minéraux, instruments de physique, ainsi qu’une belle collection de maîtres hollandais : Rembrandt, </w:t>
      </w:r>
      <w:proofErr w:type="spellStart"/>
      <w:r w:rsidR="003459F7">
        <w:rPr>
          <w:rFonts w:ascii="Times New Roman" w:hAnsi="Times New Roman" w:cs="Times New Roman"/>
          <w:sz w:val="24"/>
          <w:szCs w:val="24"/>
        </w:rPr>
        <w:t>Mesdag</w:t>
      </w:r>
      <w:proofErr w:type="spellEnd"/>
      <w:r w:rsidR="003459F7">
        <w:rPr>
          <w:rFonts w:ascii="Times New Roman" w:hAnsi="Times New Roman" w:cs="Times New Roman"/>
          <w:sz w:val="24"/>
          <w:szCs w:val="24"/>
        </w:rPr>
        <w:t xml:space="preserve">, Wouwerman, van Goyen, </w:t>
      </w:r>
      <w:proofErr w:type="spellStart"/>
      <w:r w:rsidR="003459F7">
        <w:rPr>
          <w:rFonts w:ascii="Times New Roman" w:hAnsi="Times New Roman" w:cs="Times New Roman"/>
          <w:sz w:val="24"/>
          <w:szCs w:val="24"/>
        </w:rPr>
        <w:t>Koekkoek</w:t>
      </w:r>
      <w:proofErr w:type="spellEnd"/>
      <w:r w:rsidR="003459F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lendemain, petite escapade à Amsterdam, et plus précisément au musée de l’Hermitage où se tient la prestigieuse exposition « Dutch Masters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Hermitage », tout droit venue de St Pétersbourg. Après une courte introduction sur l’histoire du bâtiment (maison de repos pour des femmes pauvres), ses liens avec l’Hermit</w:t>
      </w:r>
      <w:r w:rsidR="00FE0DB2">
        <w:rPr>
          <w:rFonts w:ascii="Times New Roman" w:hAnsi="Times New Roman" w:cs="Times New Roman"/>
          <w:sz w:val="24"/>
          <w:szCs w:val="24"/>
        </w:rPr>
        <w:t>age russe, la responsable nous commente la première</w:t>
      </w:r>
      <w:r>
        <w:rPr>
          <w:rFonts w:ascii="Times New Roman" w:hAnsi="Times New Roman" w:cs="Times New Roman"/>
          <w:sz w:val="24"/>
          <w:szCs w:val="24"/>
        </w:rPr>
        <w:t xml:space="preserve"> œuvre </w:t>
      </w:r>
      <w:r w:rsidR="00FE0DB2">
        <w:rPr>
          <w:rFonts w:ascii="Times New Roman" w:hAnsi="Times New Roman" w:cs="Times New Roman"/>
          <w:sz w:val="24"/>
          <w:szCs w:val="24"/>
        </w:rPr>
        <w:t>exposée</w:t>
      </w:r>
      <w:r>
        <w:rPr>
          <w:rFonts w:ascii="Times New Roman" w:hAnsi="Times New Roman" w:cs="Times New Roman"/>
          <w:sz w:val="24"/>
          <w:szCs w:val="24"/>
        </w:rPr>
        <w:t xml:space="preserve"> de Rembrandt</w:t>
      </w:r>
      <w:r w:rsidR="00FE0DB2">
        <w:rPr>
          <w:rFonts w:ascii="Times New Roman" w:hAnsi="Times New Roman" w:cs="Times New Roman"/>
          <w:sz w:val="24"/>
          <w:szCs w:val="24"/>
        </w:rPr>
        <w:t>, l’émouvante</w:t>
      </w:r>
      <w:r w:rsidR="000F028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Jeune femme aux boucles d’oreille </w:t>
      </w:r>
      <w:r w:rsidR="000F02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 Nous </w:t>
      </w:r>
      <w:r w:rsidR="00FE0DB2">
        <w:rPr>
          <w:rFonts w:ascii="Times New Roman" w:hAnsi="Times New Roman" w:cs="Times New Roman"/>
          <w:sz w:val="24"/>
          <w:szCs w:val="24"/>
        </w:rPr>
        <w:t>faisons ensuite la visite en admirant, non seulement les</w:t>
      </w:r>
      <w:r>
        <w:rPr>
          <w:rFonts w:ascii="Times New Roman" w:hAnsi="Times New Roman" w:cs="Times New Roman"/>
          <w:sz w:val="24"/>
          <w:szCs w:val="24"/>
        </w:rPr>
        <w:t xml:space="preserve"> beaux Rembrandt,</w:t>
      </w:r>
      <w:r w:rsidR="00FE0DB2">
        <w:rPr>
          <w:rFonts w:ascii="Times New Roman" w:hAnsi="Times New Roman" w:cs="Times New Roman"/>
          <w:sz w:val="24"/>
          <w:szCs w:val="24"/>
        </w:rPr>
        <w:t xml:space="preserve"> mais également les tableaux de ses contemporains :</w:t>
      </w:r>
      <w:r>
        <w:rPr>
          <w:rFonts w:ascii="Times New Roman" w:hAnsi="Times New Roman" w:cs="Times New Roman"/>
          <w:sz w:val="24"/>
          <w:szCs w:val="24"/>
        </w:rPr>
        <w:t xml:space="preserve"> Dou, Heda, Hals et van Goyen, jamais revus dans leur pays d’origine.  </w:t>
      </w:r>
    </w:p>
    <w:p w:rsidR="00FE0DB2" w:rsidRDefault="00FE0DB2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terminons ce séjour aux Pays-Bas par la  traditionnelle  promenade en bateau sur les canaux et principalement sur le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Herengracht</w:t>
      </w:r>
      <w:proofErr w:type="spellEnd"/>
      <w:r>
        <w:rPr>
          <w:rFonts w:ascii="Times New Roman" w:hAnsi="Times New Roman" w:cs="Times New Roman"/>
          <w:sz w:val="24"/>
          <w:szCs w:val="24"/>
        </w:rPr>
        <w:t> » (canal des Seigneurs) où, sous un rayon de soleil, nous revoyons les belles demeures, parfaitement restaurées, aux p</w:t>
      </w:r>
      <w:r w:rsidR="00FE0DB2">
        <w:rPr>
          <w:rFonts w:ascii="Times New Roman" w:hAnsi="Times New Roman" w:cs="Times New Roman"/>
          <w:sz w:val="24"/>
          <w:szCs w:val="24"/>
        </w:rPr>
        <w:t xml:space="preserve">ignons à redents, en cloche ou </w:t>
      </w:r>
      <w:r>
        <w:rPr>
          <w:rFonts w:ascii="Times New Roman" w:hAnsi="Times New Roman" w:cs="Times New Roman"/>
          <w:sz w:val="24"/>
          <w:szCs w:val="24"/>
        </w:rPr>
        <w:t>en forme de cou, des marchands opulents du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siècle, ainsi que la somptueuse résidence officielle du bourgmestre d’Amsterdam !</w:t>
      </w:r>
      <w:r w:rsidR="00A457AE">
        <w:rPr>
          <w:rFonts w:ascii="Times New Roman" w:hAnsi="Times New Roman" w:cs="Times New Roman"/>
          <w:sz w:val="24"/>
          <w:szCs w:val="24"/>
        </w:rPr>
        <w:t xml:space="preserve"> </w:t>
      </w:r>
      <w:r w:rsidR="00A457A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Après le </w:t>
      </w:r>
      <w:proofErr w:type="spellStart"/>
      <w:r w:rsidR="00A457A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Herengracht</w:t>
      </w:r>
      <w:proofErr w:type="spellEnd"/>
      <w:r w:rsidR="00A457A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nous nous retrouvons sur l’IJ et c’est bientôt la fin de la promenade et aussi de notre séjour aux Pays-Bas. </w:t>
      </w:r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459F7" w:rsidRDefault="003459F7" w:rsidP="003459F7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fr-BE"/>
        </w:rPr>
        <w:lastRenderedPageBreak/>
        <w:drawing>
          <wp:inline distT="0" distB="0" distL="0" distR="0">
            <wp:extent cx="4876800" cy="2118360"/>
            <wp:effectExtent l="0" t="0" r="0" b="0"/>
            <wp:docPr id="2" name="Picture 2" descr="IMG-20171126-WA0001 (2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20171126-WA0001 (2)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59F7" w:rsidRDefault="003459F7" w:rsidP="003459F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05C11" w:rsidRDefault="0064513E" w:rsidP="0064513E">
      <w:pPr>
        <w:pStyle w:val="Pieddepage"/>
        <w:jc w:val="center"/>
      </w:pPr>
      <w:r>
        <w:rPr>
          <w:noProof/>
          <w:lang w:eastAsia="fr-BE"/>
        </w:rPr>
        <w:drawing>
          <wp:inline distT="0" distB="0" distL="0" distR="0">
            <wp:extent cx="4183380" cy="2118360"/>
            <wp:effectExtent l="0" t="0" r="7620" b="0"/>
            <wp:docPr id="15" name="Picture 15" descr="C:\Users\PERRONI\AppData\Local\Microsoft\Windows\Temporary Internet Files\Content.Outlook\HD8X5Q9D\PB26104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RONI\AppData\Local\Microsoft\Windows\Temporary Internet Files\Content.Outlook\HD8X5Q9D\PB261043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180" cy="21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11" w:rsidRDefault="00D05C11" w:rsidP="00D05C11">
      <w:pPr>
        <w:pStyle w:val="Pieddepage"/>
      </w:pPr>
    </w:p>
    <w:p w:rsidR="00D05C11" w:rsidRDefault="00D05C11" w:rsidP="00D05C11">
      <w:pPr>
        <w:pStyle w:val="Pieddepage"/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10625"/>
      </w:tblGrid>
      <w:tr w:rsidR="00D05C11" w:rsidTr="003459F7">
        <w:tc>
          <w:tcPr>
            <w:tcW w:w="10625" w:type="dxa"/>
          </w:tcPr>
          <w:p w:rsidR="00D05C11" w:rsidRDefault="00D05C11" w:rsidP="00D05C11">
            <w:pPr>
              <w:ind w:right="1134"/>
              <w:jc w:val="center"/>
            </w:pPr>
            <w:r>
              <w:t>Pour avoir accès à n</w:t>
            </w:r>
            <w:r w:rsidRPr="00D05C11">
              <w:t xml:space="preserve">otre site, cliquer </w:t>
            </w:r>
            <w:hyperlink r:id="rId9" w:history="1">
              <w:r w:rsidRPr="00D05C11">
                <w:rPr>
                  <w:rStyle w:val="Lienhypertexte"/>
                </w:rPr>
                <w:t>ici</w:t>
              </w:r>
            </w:hyperlink>
          </w:p>
          <w:p w:rsidR="00D05C11" w:rsidRDefault="00D05C11" w:rsidP="000D3391">
            <w:pPr>
              <w:ind w:right="1134"/>
            </w:pPr>
          </w:p>
        </w:tc>
      </w:tr>
    </w:tbl>
    <w:p w:rsidR="00971B65" w:rsidRDefault="00971B65" w:rsidP="00D05C11">
      <w:pPr>
        <w:ind w:left="57" w:right="1134"/>
      </w:pPr>
    </w:p>
    <w:sectPr w:rsidR="00971B65" w:rsidSect="000D339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A1" w:rsidRDefault="00422DA1" w:rsidP="00D07B4A">
      <w:pPr>
        <w:spacing w:after="0" w:line="240" w:lineRule="auto"/>
      </w:pPr>
      <w:r>
        <w:separator/>
      </w:r>
    </w:p>
  </w:endnote>
  <w:endnote w:type="continuationSeparator" w:id="0">
    <w:p w:rsidR="00422DA1" w:rsidRDefault="00422DA1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A1" w:rsidRDefault="00422DA1" w:rsidP="00D07B4A">
      <w:pPr>
        <w:spacing w:after="0" w:line="240" w:lineRule="auto"/>
      </w:pPr>
      <w:r>
        <w:separator/>
      </w:r>
    </w:p>
  </w:footnote>
  <w:footnote w:type="continuationSeparator" w:id="0">
    <w:p w:rsidR="00422DA1" w:rsidRDefault="00422DA1" w:rsidP="00D0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3391"/>
    <w:rsid w:val="000D3391"/>
    <w:rsid w:val="000F0280"/>
    <w:rsid w:val="002320B1"/>
    <w:rsid w:val="002C3823"/>
    <w:rsid w:val="003459F7"/>
    <w:rsid w:val="00422DA1"/>
    <w:rsid w:val="00432890"/>
    <w:rsid w:val="0064513E"/>
    <w:rsid w:val="00686C90"/>
    <w:rsid w:val="00745597"/>
    <w:rsid w:val="00971B65"/>
    <w:rsid w:val="009A6248"/>
    <w:rsid w:val="00A457AE"/>
    <w:rsid w:val="00C117F8"/>
    <w:rsid w:val="00C11865"/>
    <w:rsid w:val="00D05C11"/>
    <w:rsid w:val="00D07B4A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19633-FD41-4C73-AB81-FFA2572A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459F7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ercleculturel.lu/Histoire_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6</cp:revision>
  <dcterms:created xsi:type="dcterms:W3CDTF">2017-12-07T14:55:00Z</dcterms:created>
  <dcterms:modified xsi:type="dcterms:W3CDTF">2025-02-09T17:41:00Z</dcterms:modified>
</cp:coreProperties>
</file>